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98" w:type="dxa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94"/>
        <w:gridCol w:w="3260"/>
      </w:tblGrid>
      <w:tr w:rsidR="00292DD3" w:rsidRPr="00292DD3" w:rsidTr="00292DD3">
        <w:tc>
          <w:tcPr>
            <w:tcW w:w="3544" w:type="dxa"/>
          </w:tcPr>
          <w:p w:rsidR="00292DD3" w:rsidRPr="00292DD3" w:rsidRDefault="00292DD3" w:rsidP="00292DD3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       СОГЛАСОВАНО                                                              Заместитель директора по </w:t>
            </w:r>
            <w:proofErr w:type="gramStart"/>
            <w:r w:rsidRPr="00292DD3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>УПР</w:t>
            </w:r>
            <w:proofErr w:type="gramEnd"/>
            <w:r w:rsidRPr="00292DD3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                                                                                                 </w:t>
            </w:r>
            <w:r w:rsidRPr="00292DD3">
              <w:rPr>
                <w:rFonts w:ascii="Times New Roman" w:eastAsia="Times New Roman" w:hAnsi="Times New Roman"/>
                <w:bCs/>
                <w:color w:val="FFFFFF" w:themeColor="background1"/>
                <w:sz w:val="24"/>
                <w:szCs w:val="28"/>
                <w:lang w:eastAsia="en-US"/>
              </w:rPr>
              <w:t xml:space="preserve">____________ </w:t>
            </w:r>
            <w:r w:rsidRPr="00292DD3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Е.В. Есауленко               _________________        2025 г.     </w:t>
            </w:r>
          </w:p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94" w:type="dxa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292DD3" w:rsidRPr="00292DD3" w:rsidRDefault="00292DD3" w:rsidP="00292DD3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         </w:t>
            </w:r>
            <w:r w:rsidRPr="00292DD3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УТВЕРЖДАЮ                                                              Директор ГБПОУ КК ЩИТ                                                                                                                                                      </w:t>
            </w:r>
            <w:r w:rsidRPr="00292DD3">
              <w:rPr>
                <w:rFonts w:ascii="Times New Roman" w:eastAsia="Times New Roman" w:hAnsi="Times New Roman"/>
                <w:bCs/>
                <w:color w:val="FFFFFF" w:themeColor="background1"/>
                <w:sz w:val="24"/>
                <w:szCs w:val="28"/>
                <w:lang w:eastAsia="en-US"/>
              </w:rPr>
              <w:t>__________</w:t>
            </w:r>
            <w:r w:rsidRPr="00292DD3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А.А. Гребенник               __________________2025 г.   </w:t>
            </w:r>
          </w:p>
        </w:tc>
      </w:tr>
    </w:tbl>
    <w:p w:rsidR="00292DD3" w:rsidRPr="00292DD3" w:rsidRDefault="00292DD3" w:rsidP="00292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2"/>
          <w:lang w:eastAsia="en-US"/>
        </w:rPr>
      </w:pPr>
      <w:r>
        <w:rPr>
          <w:rFonts w:ascii="Times New Roman" w:eastAsia="Times New Roman" w:hAnsi="Times New Roman"/>
          <w:b/>
          <w:sz w:val="24"/>
          <w:szCs w:val="22"/>
          <w:lang w:eastAsia="en-US"/>
        </w:rPr>
        <w:t xml:space="preserve">           </w:t>
      </w:r>
      <w:r w:rsidRPr="00292DD3">
        <w:rPr>
          <w:rFonts w:ascii="Times New Roman" w:eastAsia="Times New Roman" w:hAnsi="Times New Roman"/>
          <w:b/>
          <w:sz w:val="24"/>
          <w:szCs w:val="22"/>
          <w:lang w:eastAsia="en-US"/>
        </w:rPr>
        <w:t xml:space="preserve">Расписание  занятий                                  </w:t>
      </w:r>
    </w:p>
    <w:p w:rsidR="00292DD3" w:rsidRPr="00292DD3" w:rsidRDefault="00292DD3" w:rsidP="00292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                                                      4</w:t>
      </w:r>
      <w:r w:rsidRPr="00292DD3">
        <w:rPr>
          <w:rFonts w:ascii="Times New Roman" w:eastAsia="Times New Roman" w:hAnsi="Times New Roman"/>
          <w:sz w:val="22"/>
          <w:szCs w:val="22"/>
          <w:lang w:eastAsia="en-US"/>
        </w:rPr>
        <w:t xml:space="preserve"> курса на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r w:rsidRPr="00292DD3">
        <w:rPr>
          <w:rFonts w:ascii="Times New Roman" w:eastAsia="Times New Roman" w:hAnsi="Times New Roman"/>
          <w:sz w:val="22"/>
          <w:szCs w:val="22"/>
          <w:lang w:eastAsia="en-US"/>
        </w:rPr>
        <w:t>второе полугодие</w:t>
      </w:r>
    </w:p>
    <w:tbl>
      <w:tblPr>
        <w:tblStyle w:val="a3"/>
        <w:tblW w:w="10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66"/>
        <w:gridCol w:w="3923"/>
        <w:gridCol w:w="568"/>
        <w:gridCol w:w="666"/>
        <w:gridCol w:w="3869"/>
        <w:gridCol w:w="637"/>
      </w:tblGrid>
      <w:tr w:rsidR="00292DD3" w:rsidRPr="00292DD3" w:rsidTr="00292DD3">
        <w:trPr>
          <w:cantSplit/>
          <w:trHeight w:val="20"/>
        </w:trPr>
        <w:tc>
          <w:tcPr>
            <w:tcW w:w="481" w:type="dxa"/>
            <w:vMerge w:val="restart"/>
            <w:tcBorders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время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18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b/>
                <w:sz w:val="18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lang w:eastAsia="en-US"/>
              </w:rPr>
              <w:t>13</w:t>
            </w:r>
            <w:r w:rsidRPr="00292DD3">
              <w:rPr>
                <w:rFonts w:ascii="Times New Roman" w:eastAsia="Times New Roman" w:hAnsi="Times New Roman"/>
                <w:b/>
                <w:sz w:val="18"/>
                <w:lang w:eastAsia="en-US"/>
              </w:rPr>
              <w:t xml:space="preserve"> группа</w:t>
            </w:r>
          </w:p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sz w:val="18"/>
                <w:lang w:eastAsia="en-US"/>
              </w:rPr>
              <w:t>по специальности «Технология хлеба, кондитерских и макаронных изделий»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время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18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b/>
                <w:sz w:val="18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lang w:eastAsia="en-US"/>
              </w:rPr>
              <w:t>14</w:t>
            </w:r>
            <w:r w:rsidRPr="00292DD3">
              <w:rPr>
                <w:rFonts w:ascii="Times New Roman" w:eastAsia="Times New Roman" w:hAnsi="Times New Roman"/>
                <w:b/>
                <w:sz w:val="18"/>
                <w:lang w:eastAsia="en-US"/>
              </w:rPr>
              <w:t xml:space="preserve"> группа</w:t>
            </w:r>
          </w:p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sz w:val="18"/>
                <w:lang w:eastAsia="en-US"/>
              </w:rPr>
              <w:t>по специальности «Технология хлеба, кондитерских и макаронных изделий»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  <w:bottom w:val="single" w:sz="2" w:space="0" w:color="000000" w:themeColor="text1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кабинет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Дисциплина</w:t>
            </w:r>
          </w:p>
        </w:tc>
        <w:tc>
          <w:tcPr>
            <w:tcW w:w="568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Дисциплина</w:t>
            </w:r>
          </w:p>
        </w:tc>
        <w:tc>
          <w:tcPr>
            <w:tcW w:w="637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Понедельник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9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86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  <w:bookmarkStart w:id="0" w:name="_GoBack"/>
            <w:bookmarkEnd w:id="0"/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Вторник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9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86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Среда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9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86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86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auto"/>
              <w:bottom w:val="single" w:sz="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Четверг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9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86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Пятница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9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86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Суббота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9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386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Default="00292DD3" w:rsidP="00484C67">
            <w:r w:rsidRPr="00834878">
              <w:rPr>
                <w:rFonts w:ascii="Times New Roman" w:eastAsia="Times New Roman" w:hAnsi="Times New Roman"/>
                <w:lang w:eastAsia="en-US"/>
              </w:rPr>
              <w:t>Производственная  практика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292DD3">
              <w:rPr>
                <w:rFonts w:ascii="Times New Roman" w:eastAsia="Times New Roman" w:hAnsi="Times New Roman"/>
                <w:lang w:eastAsia="en-US"/>
              </w:rPr>
              <w:t>АЗ</w:t>
            </w: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292DD3" w:rsidRPr="00292DD3" w:rsidTr="00292DD3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9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92DD3" w:rsidRPr="00292DD3" w:rsidRDefault="00292DD3" w:rsidP="00292D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292DD3" w:rsidRDefault="00292DD3" w:rsidP="00292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en-US"/>
        </w:rPr>
      </w:pPr>
      <w:r w:rsidRPr="00292DD3"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292DD3" w:rsidRPr="00292DD3" w:rsidRDefault="00292DD3" w:rsidP="00292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2"/>
          <w:lang w:eastAsia="en-US"/>
        </w:rPr>
      </w:pPr>
      <w:r w:rsidRPr="00292DD3">
        <w:rPr>
          <w:rFonts w:ascii="Times New Roman" w:eastAsia="Times New Roman" w:hAnsi="Times New Roman"/>
          <w:sz w:val="22"/>
          <w:szCs w:val="22"/>
          <w:lang w:eastAsia="en-US"/>
        </w:rPr>
        <w:t xml:space="preserve"> Заместитель директора по УР                              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                                                     </w:t>
      </w:r>
      <w:r w:rsidRPr="00292DD3">
        <w:rPr>
          <w:rFonts w:ascii="Times New Roman" w:eastAsia="Times New Roman" w:hAnsi="Times New Roman"/>
          <w:sz w:val="22"/>
          <w:szCs w:val="22"/>
          <w:lang w:eastAsia="en-US"/>
        </w:rPr>
        <w:t>И.А. Кудрявцева</w:t>
      </w:r>
    </w:p>
    <w:p w:rsidR="00292DD3" w:rsidRPr="00292DD3" w:rsidRDefault="00292DD3" w:rsidP="00292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2"/>
          <w:lang w:eastAsia="en-US"/>
        </w:rPr>
      </w:pPr>
    </w:p>
    <w:p w:rsidR="00181445" w:rsidRDefault="00292DD3" w:rsidP="00292DD3">
      <w:pPr>
        <w:widowControl w:val="0"/>
        <w:autoSpaceDE w:val="0"/>
        <w:autoSpaceDN w:val="0"/>
        <w:spacing w:after="0" w:line="240" w:lineRule="auto"/>
      </w:pPr>
      <w:r w:rsidRPr="00292DD3"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                                 </w:t>
      </w:r>
    </w:p>
    <w:sectPr w:rsidR="00181445" w:rsidSect="00BA120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D3"/>
    <w:rsid w:val="00292DD3"/>
    <w:rsid w:val="00333BA3"/>
    <w:rsid w:val="00AB6988"/>
    <w:rsid w:val="00D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2DD3"/>
  </w:style>
  <w:style w:type="numbering" w:customStyle="1" w:styleId="11">
    <w:name w:val="Нет списка11"/>
    <w:next w:val="a2"/>
    <w:uiPriority w:val="99"/>
    <w:semiHidden/>
    <w:unhideWhenUsed/>
    <w:rsid w:val="00292DD3"/>
  </w:style>
  <w:style w:type="table" w:styleId="a3">
    <w:name w:val="Table Grid"/>
    <w:basedOn w:val="a1"/>
    <w:uiPriority w:val="39"/>
    <w:rsid w:val="00292DD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2DD3"/>
  </w:style>
  <w:style w:type="numbering" w:customStyle="1" w:styleId="11">
    <w:name w:val="Нет списка11"/>
    <w:next w:val="a2"/>
    <w:uiPriority w:val="99"/>
    <w:semiHidden/>
    <w:unhideWhenUsed/>
    <w:rsid w:val="00292DD3"/>
  </w:style>
  <w:style w:type="table" w:styleId="a3">
    <w:name w:val="Table Grid"/>
    <w:basedOn w:val="a1"/>
    <w:uiPriority w:val="39"/>
    <w:rsid w:val="00292DD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2025-01-12T11:35:00Z</dcterms:created>
  <dcterms:modified xsi:type="dcterms:W3CDTF">2025-01-12T11:45:00Z</dcterms:modified>
</cp:coreProperties>
</file>